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000000" w:sz="8" w:space="4"/>
        </w:pBdr>
        <w:spacing w:after="140" w:before="0"/>
      </w:pPr>
      <w:r>
        <w:rPr>
          <w:rFonts w:ascii="Times New Roman" w:cs="Times New Roman" w:eastAsia="Times New Roman" w:hAnsi="Times New Roman"/>
          <w:b/>
          <w:bCs/>
          <w:sz w:val="36"/>
          <w:szCs w:val="36"/>
        </w:rPr>
        <w:t xml:space="preserve">Mohamed Nafea</w:t>
      </w:r>
    </w:p>
    <w:tbl>
      <w:tblPr>
        <w:tblW w:type="dxa" w:w="1008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900"/>
        <w:gridCol w:w="8180"/>
      </w:tblGrid>
      <w:tr>
        <w:trPr>
          <w:cantSplit/>
        </w:trPr>
        <w:tc>
          <w:tcPr>
            <w:tcW w:type="dxa" w:w="1900"/>
            <w:tcBorders>
              <w:top w:val="none" w:color="FFFFFF" w:sz="0"/>
              <w:left w:val="none" w:color="FFFFFF" w:sz="0"/>
              <w:bottom w:val="none" w:color="FFFFFF" w:sz="0"/>
              <w:right w:val="none" w:color="FFFFFF" w:sz="0"/>
            </w:tcBorders>
            <w:tcMar>
              <w:top w:type="dxa" w:w="0"/>
              <w:left w:type="dxa" w:w="0"/>
              <w:bottom w:type="dxa" w:w="0"/>
              <w:right w:type="dxa" w:w="120"/>
            </w:tcMar>
          </w:tcPr>
          <w:p>
            <w:pPr>
              <w:spacing w:after="0" w:before="20" w:line="250"/>
            </w:pPr>
            <w:r>
              <w:rPr>
                <w:rFonts w:ascii="Times New Roman" w:cs="Times New Roman" w:eastAsia="Times New Roman" w:hAnsi="Times New Roman"/>
                <w:smallCaps/>
                <w:spacing w:val="6"/>
                <w:sz w:val="19"/>
                <w:szCs w:val="19"/>
              </w:rPr>
              <w:t xml:space="preserve">Contact Info.</w:t>
            </w:r>
          </w:p>
        </w:tc>
        <w:tc>
          <w:tcPr>
            <w:tcW w:type="dxa" w:w="8180"/>
            <w:tcBorders>
              <w:top w:val="none" w:color="FFFFFF" w:sz="0"/>
              <w:left w:val="none" w:color="FFFFFF" w:sz="0"/>
              <w:bottom w:val="none" w:color="FFFFFF" w:sz="0"/>
              <w:right w:val="none" w:color="FFFFFF" w:sz="0"/>
            </w:tcBorders>
            <w:tcMar>
              <w:top w:type="dxa" w:w="0"/>
              <w:left w:type="dxa" w:w="0"/>
              <w:bottom w:type="dxa" w:w="0"/>
              <w:right w:type="dxa" w:w="0"/>
            </w:tcMar>
          </w:tcPr>
          <w:p>
            <w:pPr>
              <w:spacing w:after="0" w:before="0" w:line="250"/>
            </w:pPr>
            <w:r>
              <w:rPr>
                <w:rFonts w:ascii="Times New Roman" w:cs="Times New Roman" w:eastAsia="Times New Roman" w:hAnsi="Times New Roman"/>
                <w:sz w:val="21"/>
                <w:szCs w:val="21"/>
              </w:rPr>
              <w:t xml:space="preserve">Assistant Professor</w:t>
            </w:r>
          </w:p>
          <w:p>
            <w:pPr>
              <w:tabs>
                <w:tab w:val="left" w:pos="4090"/>
              </w:tabs>
              <w:spacing w:after="0" w:before="0" w:line="250"/>
            </w:pPr>
            <w:r>
              <w:rPr>
                <w:rFonts w:ascii="Times New Roman" w:cs="Times New Roman" w:eastAsia="Times New Roman" w:hAnsi="Times New Roman"/>
                <w:sz w:val="21"/>
                <w:szCs w:val="21"/>
              </w:rPr>
              <w:t xml:space="preserve">Electrical and Computer Engineering	E-mail: mnafea@mst.edu</w:t>
            </w:r>
          </w:p>
          <w:p>
            <w:pPr>
              <w:tabs>
                <w:tab w:val="left" w:pos="4090"/>
              </w:tabs>
              <w:spacing w:after="0" w:before="0" w:line="250"/>
            </w:pPr>
            <w:r>
              <w:rPr>
                <w:rFonts w:ascii="Times New Roman" w:cs="Times New Roman" w:eastAsia="Times New Roman" w:hAnsi="Times New Roman"/>
                <w:sz w:val="21"/>
                <w:szCs w:val="21"/>
              </w:rPr>
              <w:t xml:space="preserve">Missouri University of Science &amp; Technology	Website: http://sites.mst.edu//nafea</w:t>
            </w:r>
          </w:p>
          <w:p>
            <w:pPr>
              <w:pBdr>
                <w:bottom w:val="single" w:color="000000" w:sz="6" w:space="1"/>
              </w:pBdr>
              <w:spacing w:after="160" w:before="200"/>
            </w:pPr>
            <w:r>
              <w:rPr>
                <w:rFonts w:ascii="Times New Roman" w:cs="Times New Roman" w:eastAsia="Times New Roman" w:hAnsi="Times New Roman"/>
                <w:sz w:val="10"/>
                <w:szCs w:val="10"/>
              </w:rPr>
              <w:t xml:space="preserve"/>
            </w:r>
          </w:p>
        </w:tc>
      </w:tr>
      <w:tr>
        <w:trPr>
          <w:cantSplit/>
        </w:trPr>
        <w:tc>
          <w:tcPr>
            <w:tcW w:type="dxa" w:w="1900"/>
            <w:tcBorders>
              <w:top w:val="none" w:color="FFFFFF" w:sz="0"/>
              <w:left w:val="none" w:color="FFFFFF" w:sz="0"/>
              <w:bottom w:val="none" w:color="FFFFFF" w:sz="0"/>
              <w:right w:val="none" w:color="FFFFFF" w:sz="0"/>
            </w:tcBorders>
            <w:tcMar>
              <w:top w:type="dxa" w:w="0"/>
              <w:left w:type="dxa" w:w="0"/>
              <w:bottom w:type="dxa" w:w="0"/>
              <w:right w:type="dxa" w:w="120"/>
            </w:tcMar>
          </w:tcPr>
          <w:p>
            <w:pPr>
              <w:spacing w:after="0" w:before="20" w:line="250"/>
            </w:pPr>
            <w:r>
              <w:rPr>
                <w:rFonts w:ascii="Times New Roman" w:cs="Times New Roman" w:eastAsia="Times New Roman" w:hAnsi="Times New Roman"/>
                <w:smallCaps/>
                <w:spacing w:val="6"/>
                <w:sz w:val="19"/>
                <w:szCs w:val="19"/>
              </w:rPr>
              <w:t xml:space="preserve">Research</w:t>
            </w:r>
          </w:p>
          <w:p>
            <w:pPr>
              <w:spacing w:after="0" w:before="0" w:line="250"/>
            </w:pPr>
            <w:r>
              <w:rPr>
                <w:rFonts w:ascii="Times New Roman" w:cs="Times New Roman" w:eastAsia="Times New Roman" w:hAnsi="Times New Roman"/>
                <w:smallCaps/>
                <w:spacing w:val="6"/>
                <w:sz w:val="19"/>
                <w:szCs w:val="19"/>
              </w:rPr>
              <w:t xml:space="preserve">Interests</w:t>
            </w:r>
          </w:p>
        </w:tc>
        <w:tc>
          <w:tcPr>
            <w:tcW w:type="dxa" w:w="8180"/>
            <w:tcBorders>
              <w:top w:val="none" w:color="FFFFFF" w:sz="0"/>
              <w:left w:val="none" w:color="FFFFFF" w:sz="0"/>
              <w:bottom w:val="none" w:color="FFFFFF" w:sz="0"/>
              <w:right w:val="none" w:color="FFFFFF" w:sz="0"/>
            </w:tcBorders>
            <w:tcMar>
              <w:top w:type="dxa" w:w="0"/>
              <w:left w:type="dxa" w:w="0"/>
              <w:bottom w:type="dxa" w:w="0"/>
              <w:right w:type="dxa" w:w="0"/>
            </w:tcMar>
          </w:tcPr>
          <w:p>
            <w:pPr>
              <w:tabs>
                <w:tab w:val="left" w:pos="4090"/>
              </w:tabs>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Explainable &amp; responsible ML	– Information theory, security &amp; privacy</w:t>
            </w:r>
          </w:p>
          <w:p>
            <w:pPr>
              <w:tabs>
                <w:tab w:val="left" w:pos="4090"/>
              </w:tabs>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Federated learning &amp; optimization	– Causal learning &amp; inference</w:t>
            </w:r>
          </w:p>
          <w:p>
            <w:pPr>
              <w:pBdr>
                <w:bottom w:val="single" w:color="000000" w:sz="6" w:space="1"/>
              </w:pBdr>
              <w:spacing w:after="160" w:before="200"/>
            </w:pPr>
            <w:r>
              <w:rPr>
                <w:rFonts w:ascii="Times New Roman" w:cs="Times New Roman" w:eastAsia="Times New Roman" w:hAnsi="Times New Roman"/>
                <w:sz w:val="10"/>
                <w:szCs w:val="10"/>
              </w:rPr>
              <w:t xml:space="preserve"/>
            </w:r>
          </w:p>
        </w:tc>
      </w:tr>
      <w:tr>
        <w:trPr>
          <w:cantSplit/>
        </w:trPr>
        <w:tc>
          <w:tcPr>
            <w:tcW w:type="dxa" w:w="1900"/>
            <w:tcBorders>
              <w:top w:val="none" w:color="FFFFFF" w:sz="0"/>
              <w:left w:val="none" w:color="FFFFFF" w:sz="0"/>
              <w:bottom w:val="none" w:color="FFFFFF" w:sz="0"/>
              <w:right w:val="none" w:color="FFFFFF" w:sz="0"/>
            </w:tcBorders>
            <w:tcMar>
              <w:top w:type="dxa" w:w="0"/>
              <w:left w:type="dxa" w:w="0"/>
              <w:bottom w:type="dxa" w:w="0"/>
              <w:right w:type="dxa" w:w="120"/>
            </w:tcMar>
          </w:tcPr>
          <w:p>
            <w:pPr>
              <w:spacing w:after="0" w:before="20" w:line="250"/>
            </w:pPr>
            <w:r>
              <w:rPr>
                <w:rFonts w:ascii="Times New Roman" w:cs="Times New Roman" w:eastAsia="Times New Roman" w:hAnsi="Times New Roman"/>
                <w:smallCaps/>
                <w:spacing w:val="6"/>
                <w:sz w:val="19"/>
                <w:szCs w:val="19"/>
              </w:rPr>
              <w:t xml:space="preserve">Education</w:t>
            </w:r>
          </w:p>
        </w:tc>
        <w:tc>
          <w:tcPr>
            <w:tcW w:type="dxa" w:w="8180"/>
            <w:tcBorders>
              <w:top w:val="none" w:color="FFFFFF" w:sz="0"/>
              <w:left w:val="none" w:color="FFFFFF" w:sz="0"/>
              <w:bottom w:val="none" w:color="FFFFFF" w:sz="0"/>
              <w:right w:val="none" w:color="FFFFFF" w:sz="0"/>
            </w:tcBorders>
            <w:tcMar>
              <w:top w:type="dxa" w:w="0"/>
              <w:left w:type="dxa" w:w="0"/>
              <w:bottom w:type="dxa" w:w="0"/>
              <w:right w:type="dxa" w:w="0"/>
            </w:tcMar>
          </w:tcPr>
          <w:p>
            <w:pPr>
              <w:spacing w:after="0" w:before="0" w:line="250"/>
            </w:pPr>
            <w:r>
              <w:rPr>
                <w:rFonts w:ascii="Times New Roman" w:cs="Times New Roman" w:eastAsia="Times New Roman" w:hAnsi="Times New Roman"/>
                <w:b/>
                <w:bCs/>
                <w:sz w:val="21"/>
                <w:szCs w:val="21"/>
              </w:rPr>
              <w:t xml:space="preserve">Pennsylvania State University</w:t>
            </w:r>
            <w:r>
              <w:rPr>
                <w:rFonts w:ascii="Times New Roman" w:cs="Times New Roman" w:eastAsia="Times New Roman" w:hAnsi="Times New Roman"/>
                <w:sz w:val="21"/>
                <w:szCs w:val="21"/>
              </w:rPr>
              <w:t xml:space="preserve">, University Park</w:t>
            </w:r>
          </w:p>
          <w:p>
            <w:pPr>
              <w:tabs>
                <w:tab w:val="right" w:pos="8180"/>
              </w:tabs>
              <w:spacing w:after="0" w:before="0" w:line="250"/>
            </w:pPr>
            <w:r>
              <w:rPr>
                <w:rFonts w:ascii="Times New Roman" w:cs="Times New Roman" w:eastAsia="Times New Roman" w:hAnsi="Times New Roman"/>
                <w:sz w:val="21"/>
                <w:szCs w:val="21"/>
              </w:rPr>
              <w:t xml:space="preserve">Ph.D. in Electrical Engineering</w:t>
            </w:r>
            <w:r>
              <w:rPr>
                <w:rFonts w:ascii="Times New Roman" w:cs="Times New Roman" w:eastAsia="Times New Roman" w:hAnsi="Times New Roman"/>
                <w:sz w:val="21"/>
                <w:szCs w:val="21"/>
              </w:rPr>
              <w:t xml:space="preserve">	(2012 – 2018)</w:t>
            </w:r>
          </w:p>
          <w:p>
            <w:pPr>
              <w:tabs>
                <w:tab w:val="right" w:pos="8180"/>
              </w:tabs>
              <w:spacing w:after="0" w:before="0" w:line="250"/>
            </w:pPr>
            <w:r>
              <w:rPr>
                <w:rFonts w:ascii="Times New Roman" w:cs="Times New Roman" w:eastAsia="Times New Roman" w:hAnsi="Times New Roman"/>
                <w:sz w:val="21"/>
                <w:szCs w:val="21"/>
              </w:rPr>
              <w:t xml:space="preserve">M.A. in Mathematics</w:t>
            </w:r>
            <w:r>
              <w:rPr>
                <w:rFonts w:ascii="Times New Roman" w:cs="Times New Roman" w:eastAsia="Times New Roman" w:hAnsi="Times New Roman"/>
                <w:sz w:val="21"/>
                <w:szCs w:val="21"/>
              </w:rPr>
              <w:t xml:space="preserve">	(2014 – 2017)</w:t>
            </w:r>
          </w:p>
          <w:p>
            <w:pPr>
              <w:spacing w:after="0" w:before="160" w:line="250"/>
            </w:pPr>
            <w:r>
              <w:rPr>
                <w:rFonts w:ascii="Times New Roman" w:cs="Times New Roman" w:eastAsia="Times New Roman" w:hAnsi="Times New Roman"/>
                <w:b/>
                <w:bCs/>
                <w:sz w:val="21"/>
                <w:szCs w:val="21"/>
              </w:rPr>
              <w:t xml:space="preserve">Nile University</w:t>
            </w:r>
            <w:r>
              <w:rPr>
                <w:rFonts w:ascii="Times New Roman" w:cs="Times New Roman" w:eastAsia="Times New Roman" w:hAnsi="Times New Roman"/>
                <w:sz w:val="21"/>
                <w:szCs w:val="21"/>
              </w:rPr>
              <w:t xml:space="preserve">, Cairo, Egypt</w:t>
            </w:r>
          </w:p>
          <w:p>
            <w:pPr>
              <w:tabs>
                <w:tab w:val="right" w:pos="8180"/>
              </w:tabs>
              <w:spacing w:after="0" w:before="0" w:line="250"/>
            </w:pPr>
            <w:r>
              <w:rPr>
                <w:rFonts w:ascii="Times New Roman" w:cs="Times New Roman" w:eastAsia="Times New Roman" w:hAnsi="Times New Roman"/>
                <w:sz w:val="21"/>
                <w:szCs w:val="21"/>
              </w:rPr>
              <w:t xml:space="preserve">M.Sc. in Information &amp; Wireless Technologies</w:t>
            </w:r>
            <w:r>
              <w:rPr>
                <w:rFonts w:ascii="Times New Roman" w:cs="Times New Roman" w:eastAsia="Times New Roman" w:hAnsi="Times New Roman"/>
                <w:sz w:val="21"/>
                <w:szCs w:val="21"/>
              </w:rPr>
              <w:t xml:space="preserve">	(2010 – 2012)</w:t>
            </w:r>
          </w:p>
          <w:p>
            <w:pPr>
              <w:spacing w:after="0" w:before="160" w:line="250"/>
            </w:pPr>
            <w:r>
              <w:rPr>
                <w:rFonts w:ascii="Times New Roman" w:cs="Times New Roman" w:eastAsia="Times New Roman" w:hAnsi="Times New Roman"/>
                <w:b/>
                <w:bCs/>
                <w:sz w:val="21"/>
                <w:szCs w:val="21"/>
              </w:rPr>
              <w:t xml:space="preserve">Alexandria University</w:t>
            </w:r>
            <w:r>
              <w:rPr>
                <w:rFonts w:ascii="Times New Roman" w:cs="Times New Roman" w:eastAsia="Times New Roman" w:hAnsi="Times New Roman"/>
                <w:sz w:val="21"/>
                <w:szCs w:val="21"/>
              </w:rPr>
              <w:t xml:space="preserve">, Egypt</w:t>
            </w:r>
          </w:p>
          <w:p>
            <w:pPr>
              <w:tabs>
                <w:tab w:val="right" w:pos="8180"/>
              </w:tabs>
              <w:spacing w:after="0" w:before="0" w:line="250"/>
            </w:pPr>
            <w:r>
              <w:rPr>
                <w:rFonts w:ascii="Times New Roman" w:cs="Times New Roman" w:eastAsia="Times New Roman" w:hAnsi="Times New Roman"/>
                <w:sz w:val="21"/>
                <w:szCs w:val="21"/>
              </w:rPr>
              <w:t xml:space="preserve">B.Sc. in Electrical Engineering</w:t>
            </w:r>
            <w:r>
              <w:rPr>
                <w:rFonts w:ascii="Times New Roman" w:cs="Times New Roman" w:eastAsia="Times New Roman" w:hAnsi="Times New Roman"/>
                <w:sz w:val="21"/>
                <w:szCs w:val="21"/>
              </w:rPr>
              <w:t xml:space="preserve">	(2005 – 2010)</w:t>
            </w:r>
          </w:p>
          <w:p>
            <w:pPr>
              <w:pBdr>
                <w:bottom w:val="single" w:color="000000" w:sz="6" w:space="1"/>
              </w:pBdr>
              <w:spacing w:after="160" w:before="200"/>
            </w:pPr>
            <w:r>
              <w:rPr>
                <w:rFonts w:ascii="Times New Roman" w:cs="Times New Roman" w:eastAsia="Times New Roman" w:hAnsi="Times New Roman"/>
                <w:sz w:val="10"/>
                <w:szCs w:val="10"/>
              </w:rPr>
              <w:t xml:space="preserve"/>
            </w:r>
          </w:p>
        </w:tc>
      </w:tr>
      <w:tr>
        <w:trPr>
          <w:cantSplit/>
        </w:trPr>
        <w:tc>
          <w:tcPr>
            <w:tcW w:type="dxa" w:w="1900"/>
            <w:tcBorders>
              <w:top w:val="none" w:color="FFFFFF" w:sz="0"/>
              <w:left w:val="none" w:color="FFFFFF" w:sz="0"/>
              <w:bottom w:val="none" w:color="FFFFFF" w:sz="0"/>
              <w:right w:val="none" w:color="FFFFFF" w:sz="0"/>
            </w:tcBorders>
            <w:tcMar>
              <w:top w:type="dxa" w:w="0"/>
              <w:left w:type="dxa" w:w="0"/>
              <w:bottom w:type="dxa" w:w="0"/>
              <w:right w:type="dxa" w:w="120"/>
            </w:tcMar>
          </w:tcPr>
          <w:p>
            <w:pPr>
              <w:spacing w:after="0" w:before="20" w:line="250"/>
            </w:pPr>
            <w:r>
              <w:rPr>
                <w:rFonts w:ascii="Times New Roman" w:cs="Times New Roman" w:eastAsia="Times New Roman" w:hAnsi="Times New Roman"/>
                <w:smallCaps/>
                <w:spacing w:val="6"/>
                <w:sz w:val="19"/>
                <w:szCs w:val="19"/>
              </w:rPr>
              <w:t xml:space="preserve">Academic</w:t>
            </w:r>
          </w:p>
          <w:p>
            <w:pPr>
              <w:spacing w:after="0" w:before="0" w:line="250"/>
            </w:pPr>
            <w:r>
              <w:rPr>
                <w:rFonts w:ascii="Times New Roman" w:cs="Times New Roman" w:eastAsia="Times New Roman" w:hAnsi="Times New Roman"/>
                <w:smallCaps/>
                <w:spacing w:val="6"/>
                <w:sz w:val="19"/>
                <w:szCs w:val="19"/>
              </w:rPr>
              <w:t xml:space="preserve">Experience</w:t>
            </w:r>
          </w:p>
        </w:tc>
        <w:tc>
          <w:tcPr>
            <w:tcW w:type="dxa" w:w="8180"/>
            <w:tcBorders>
              <w:top w:val="none" w:color="FFFFFF" w:sz="0"/>
              <w:left w:val="none" w:color="FFFFFF" w:sz="0"/>
              <w:bottom w:val="none" w:color="FFFFFF" w:sz="0"/>
              <w:right w:val="none" w:color="FFFFFF" w:sz="0"/>
            </w:tcBorders>
            <w:tcMar>
              <w:top w:type="dxa" w:w="0"/>
              <w:left w:type="dxa" w:w="0"/>
              <w:bottom w:type="dxa" w:w="0"/>
              <w:right w:type="dxa" w:w="0"/>
            </w:tcMar>
          </w:tcPr>
          <w:p>
            <w:pPr>
              <w:spacing w:after="0" w:before="0" w:line="250"/>
            </w:pPr>
            <w:r>
              <w:rPr>
                <w:rFonts w:ascii="Times New Roman" w:cs="Times New Roman" w:eastAsia="Times New Roman" w:hAnsi="Times New Roman"/>
                <w:b/>
                <w:bCs/>
                <w:sz w:val="21"/>
                <w:szCs w:val="21"/>
              </w:rPr>
              <w:t xml:space="preserve">Missouri University of Science &amp; Technology</w:t>
            </w:r>
            <w:r>
              <w:rPr>
                <w:rFonts w:ascii="Times New Roman" w:cs="Times New Roman" w:eastAsia="Times New Roman" w:hAnsi="Times New Roman"/>
                <w:sz w:val="21"/>
                <w:szCs w:val="21"/>
              </w:rPr>
              <w:t xml:space="preserve">, Rolla, MO</w:t>
            </w:r>
          </w:p>
          <w:p>
            <w:pPr>
              <w:tabs>
                <w:tab w:val="right" w:pos="8180"/>
              </w:tabs>
              <w:spacing w:after="0" w:before="0" w:line="250"/>
            </w:pPr>
            <w:r>
              <w:rPr>
                <w:rFonts w:ascii="Times New Roman" w:cs="Times New Roman" w:eastAsia="Times New Roman" w:hAnsi="Times New Roman"/>
                <w:sz w:val="21"/>
                <w:szCs w:val="21"/>
              </w:rPr>
              <w:t xml:space="preserve">Assistant Professor, Computer engineering</w:t>
            </w:r>
            <w:r>
              <w:rPr>
                <w:rFonts w:ascii="Times New Roman" w:cs="Times New Roman" w:eastAsia="Times New Roman" w:hAnsi="Times New Roman"/>
                <w:sz w:val="21"/>
                <w:szCs w:val="21"/>
              </w:rPr>
              <w:t xml:space="preserve">	(Aug. 2024 – present)</w:t>
            </w:r>
          </w:p>
          <w:p>
            <w:pPr>
              <w:spacing w:after="0" w:before="160" w:line="250"/>
            </w:pPr>
            <w:r>
              <w:rPr>
                <w:rFonts w:ascii="Times New Roman" w:cs="Times New Roman" w:eastAsia="Times New Roman" w:hAnsi="Times New Roman"/>
                <w:b/>
                <w:bCs/>
                <w:sz w:val="21"/>
                <w:szCs w:val="21"/>
              </w:rPr>
              <w:t xml:space="preserve">University of Detroit Mercy</w:t>
            </w:r>
            <w:r>
              <w:rPr>
                <w:rFonts w:ascii="Times New Roman" w:cs="Times New Roman" w:eastAsia="Times New Roman" w:hAnsi="Times New Roman"/>
                <w:sz w:val="21"/>
                <w:szCs w:val="21"/>
              </w:rPr>
              <w:t xml:space="preserve">, Detroit, MI</w:t>
            </w:r>
          </w:p>
          <w:p>
            <w:pPr>
              <w:tabs>
                <w:tab w:val="right" w:pos="8180"/>
              </w:tabs>
              <w:spacing w:after="0" w:before="0" w:line="250"/>
            </w:pPr>
            <w:r>
              <w:rPr>
                <w:rFonts w:ascii="Times New Roman" w:cs="Times New Roman" w:eastAsia="Times New Roman" w:hAnsi="Times New Roman"/>
                <w:sz w:val="21"/>
                <w:szCs w:val="21"/>
              </w:rPr>
              <w:t xml:space="preserve">Assistant Professor, Electrical &amp; computer engineering</w:t>
            </w:r>
            <w:r>
              <w:rPr>
                <w:rFonts w:ascii="Times New Roman" w:cs="Times New Roman" w:eastAsia="Times New Roman" w:hAnsi="Times New Roman"/>
                <w:sz w:val="21"/>
                <w:szCs w:val="21"/>
              </w:rPr>
              <w:t xml:space="preserve">	(Aug. 2020 – Aug. 2024)</w:t>
            </w:r>
          </w:p>
          <w:p>
            <w:pPr>
              <w:spacing w:after="0" w:before="160" w:line="250"/>
            </w:pPr>
            <w:r>
              <w:rPr>
                <w:rFonts w:ascii="Times New Roman" w:cs="Times New Roman" w:eastAsia="Times New Roman" w:hAnsi="Times New Roman"/>
                <w:b/>
                <w:bCs/>
                <w:sz w:val="21"/>
                <w:szCs w:val="21"/>
              </w:rPr>
              <w:t xml:space="preserve">Georgia Institute of Technology</w:t>
            </w:r>
            <w:r>
              <w:rPr>
                <w:rFonts w:ascii="Times New Roman" w:cs="Times New Roman" w:eastAsia="Times New Roman" w:hAnsi="Times New Roman"/>
                <w:sz w:val="21"/>
                <w:szCs w:val="21"/>
              </w:rPr>
              <w:t xml:space="preserve">, Atlanta, GA</w:t>
            </w:r>
          </w:p>
          <w:p>
            <w:pPr>
              <w:tabs>
                <w:tab w:val="right" w:pos="8180"/>
              </w:tabs>
              <w:spacing w:after="0" w:before="0" w:line="250"/>
            </w:pPr>
            <w:r>
              <w:rPr>
                <w:rFonts w:ascii="Times New Roman" w:cs="Times New Roman" w:eastAsia="Times New Roman" w:hAnsi="Times New Roman"/>
                <w:sz w:val="21"/>
                <w:szCs w:val="21"/>
              </w:rPr>
              <w:t xml:space="preserve">Postdoctoral Research Fellow, Electrical &amp; computer engineering</w:t>
            </w:r>
            <w:r>
              <w:rPr>
                <w:rFonts w:ascii="Times New Roman" w:cs="Times New Roman" w:eastAsia="Times New Roman" w:hAnsi="Times New Roman"/>
                <w:sz w:val="21"/>
                <w:szCs w:val="21"/>
              </w:rPr>
              <w:t xml:space="preserve">	(Mar. 2019 – Jun. 2020)</w:t>
            </w:r>
          </w:p>
          <w:p>
            <w:pPr>
              <w:spacing w:after="0" w:before="160" w:line="250"/>
            </w:pPr>
            <w:r>
              <w:rPr>
                <w:rFonts w:ascii="Times New Roman" w:cs="Times New Roman" w:eastAsia="Times New Roman" w:hAnsi="Times New Roman"/>
                <w:b/>
                <w:bCs/>
                <w:sz w:val="21"/>
                <w:szCs w:val="21"/>
              </w:rPr>
              <w:t xml:space="preserve">Stanford University</w:t>
            </w:r>
            <w:r>
              <w:rPr>
                <w:rFonts w:ascii="Times New Roman" w:cs="Times New Roman" w:eastAsia="Times New Roman" w:hAnsi="Times New Roman"/>
                <w:sz w:val="21"/>
                <w:szCs w:val="21"/>
              </w:rPr>
              <w:t xml:space="preserve">, Palo Alto, CA</w:t>
            </w:r>
          </w:p>
          <w:p>
            <w:pPr>
              <w:tabs>
                <w:tab w:val="right" w:pos="8180"/>
              </w:tabs>
              <w:spacing w:after="0" w:before="0" w:line="250"/>
            </w:pPr>
            <w:r>
              <w:rPr>
                <w:rFonts w:ascii="Times New Roman" w:cs="Times New Roman" w:eastAsia="Times New Roman" w:hAnsi="Times New Roman"/>
                <w:sz w:val="21"/>
                <w:szCs w:val="21"/>
              </w:rPr>
              <w:t xml:space="preserve">Visiting Researcher, Information systems lab</w:t>
            </w:r>
            <w:r>
              <w:rPr>
                <w:rFonts w:ascii="Times New Roman" w:cs="Times New Roman" w:eastAsia="Times New Roman" w:hAnsi="Times New Roman"/>
                <w:sz w:val="21"/>
                <w:szCs w:val="21"/>
              </w:rPr>
              <w:t xml:space="preserve">	(Sep. 2017 – Dec. 2017)</w:t>
            </w:r>
          </w:p>
          <w:p>
            <w:pPr>
              <w:pBdr>
                <w:bottom w:val="single" w:color="000000" w:sz="6" w:space="1"/>
              </w:pBdr>
              <w:spacing w:after="160" w:before="200"/>
            </w:pPr>
            <w:r>
              <w:rPr>
                <w:rFonts w:ascii="Times New Roman" w:cs="Times New Roman" w:eastAsia="Times New Roman" w:hAnsi="Times New Roman"/>
                <w:sz w:val="10"/>
                <w:szCs w:val="10"/>
              </w:rPr>
              <w:t xml:space="preserve"/>
            </w:r>
          </w:p>
        </w:tc>
      </w:tr>
      <w:tr>
        <w:trPr>
          <w:cantSplit w:val="false"/>
        </w:trPr>
        <w:tc>
          <w:tcPr>
            <w:tcW w:type="dxa" w:w="1900"/>
            <w:tcBorders>
              <w:top w:val="none" w:color="FFFFFF" w:sz="0"/>
              <w:left w:val="none" w:color="FFFFFF" w:sz="0"/>
              <w:bottom w:val="none" w:color="FFFFFF" w:sz="0"/>
              <w:right w:val="none" w:color="FFFFFF" w:sz="0"/>
            </w:tcBorders>
            <w:tcMar>
              <w:top w:type="dxa" w:w="0"/>
              <w:left w:type="dxa" w:w="0"/>
              <w:bottom w:type="dxa" w:w="0"/>
              <w:right w:type="dxa" w:w="120"/>
            </w:tcMar>
          </w:tcPr>
          <w:p>
            <w:pPr>
              <w:spacing w:after="0" w:before="20" w:line="250"/>
            </w:pPr>
            <w:r>
              <w:rPr>
                <w:rFonts w:ascii="Times New Roman" w:cs="Times New Roman" w:eastAsia="Times New Roman" w:hAnsi="Times New Roman"/>
                <w:smallCaps/>
                <w:spacing w:val="6"/>
                <w:sz w:val="19"/>
                <w:szCs w:val="19"/>
              </w:rPr>
              <w:t xml:space="preserve">Selected</w:t>
            </w:r>
          </w:p>
          <w:p>
            <w:pPr>
              <w:spacing w:after="0" w:before="0" w:line="250"/>
            </w:pPr>
            <w:r>
              <w:rPr>
                <w:rFonts w:ascii="Times New Roman" w:cs="Times New Roman" w:eastAsia="Times New Roman" w:hAnsi="Times New Roman"/>
                <w:smallCaps/>
                <w:spacing w:val="6"/>
                <w:sz w:val="19"/>
                <w:szCs w:val="19"/>
              </w:rPr>
              <w:t xml:space="preserve">Publications</w:t>
            </w:r>
          </w:p>
        </w:tc>
        <w:tc>
          <w:tcPr>
            <w:tcW w:type="dxa" w:w="8180"/>
            <w:tcBorders>
              <w:top w:val="none" w:color="FFFFFF" w:sz="0"/>
              <w:left w:val="none" w:color="FFFFFF" w:sz="0"/>
              <w:bottom w:val="none" w:color="FFFFFF" w:sz="0"/>
              <w:right w:val="none" w:color="FFFFFF" w:sz="0"/>
            </w:tcBorders>
            <w:tcMar>
              <w:top w:type="dxa" w:w="0"/>
              <w:left w:type="dxa" w:w="0"/>
              <w:bottom w:type="dxa" w:w="0"/>
              <w:right w:type="dxa" w:w="0"/>
            </w:tcMar>
          </w:tcPr>
          <w:p>
            <w:pPr>
              <w:spacing w:after="70" w:before="70" w:line="250"/>
              <w:ind w:left="420" w:hanging="420"/>
              <w:jc w:val="both"/>
            </w:pPr>
            <w:r>
              <w:rPr>
                <w:rFonts w:ascii="Times New Roman" w:cs="Times New Roman" w:eastAsia="Times New Roman" w:hAnsi="Times New Roman"/>
                <w:sz w:val="21"/>
                <w:szCs w:val="21"/>
              </w:rPr>
              <w:t xml:space="preserve">[1] </w:t>
            </w:r>
            <w:r>
              <w:rPr>
                <w:rFonts w:ascii="Times New Roman" w:cs="Times New Roman" w:eastAsia="Times New Roman" w:hAnsi="Times New Roman"/>
                <w:sz w:val="21"/>
                <w:szCs w:val="21"/>
              </w:rPr>
              <w:t xml:space="preserve">S. Aldarmini and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Shapley-value based feature attribution for explainability and algorithmic fairness: A model-agnostic benchmark. </w:t>
            </w:r>
            <w:r>
              <w:rPr>
                <w:rFonts w:ascii="Times New Roman" w:cs="Times New Roman" w:eastAsia="Times New Roman" w:hAnsi="Times New Roman"/>
                <w:i/>
                <w:iCs/>
                <w:sz w:val="21"/>
                <w:szCs w:val="21"/>
              </w:rPr>
              <w:t xml:space="preserve">International Conference on Data Mining, workshop on adaptable, reliable and responsible learning</w:t>
            </w:r>
            <w:r>
              <w:rPr>
                <w:rFonts w:ascii="Times New Roman" w:cs="Times New Roman" w:eastAsia="Times New Roman" w:hAnsi="Times New Roman"/>
                <w:sz w:val="21"/>
                <w:szCs w:val="21"/>
              </w:rPr>
              <w:t xml:space="preserve">. IEEE, 2025</w:t>
            </w:r>
          </w:p>
          <w:p>
            <w:pPr>
              <w:spacing w:after="70" w:before="70" w:line="250"/>
              <w:ind w:left="420" w:hanging="420"/>
              <w:jc w:val="both"/>
            </w:pPr>
            <w:r>
              <w:rPr>
                <w:rFonts w:ascii="Times New Roman" w:cs="Times New Roman" w:eastAsia="Times New Roman" w:hAnsi="Times New Roman"/>
                <w:sz w:val="21"/>
                <w:szCs w:val="21"/>
              </w:rPr>
              <w:t xml:space="preserve">[2] </w:t>
            </w:r>
            <w:r>
              <w:rPr>
                <w:rFonts w:ascii="Times New Roman" w:cs="Times New Roman" w:eastAsia="Times New Roman" w:hAnsi="Times New Roman"/>
                <w:sz w:val="21"/>
                <w:szCs w:val="21"/>
              </w:rPr>
              <w:t xml:space="preserve">S. Aldarmini and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Information–theoretic quantification of inherent discrimination bias in training-data for supervised learning models. ICLR 2025 </w:t>
            </w:r>
            <w:r>
              <w:rPr>
                <w:rFonts w:ascii="Times New Roman" w:cs="Times New Roman" w:eastAsia="Times New Roman" w:hAnsi="Times New Roman"/>
                <w:i/>
                <w:iCs/>
                <w:sz w:val="21"/>
                <w:szCs w:val="21"/>
              </w:rPr>
              <w:t xml:space="preserve">Workshop on Navigating and Addressing Data Problems for Foundation Models</w:t>
            </w:r>
            <w:r>
              <w:rPr>
                <w:rFonts w:ascii="Times New Roman" w:cs="Times New Roman" w:eastAsia="Times New Roman" w:hAnsi="Times New Roman"/>
                <w:sz w:val="21"/>
                <w:szCs w:val="21"/>
              </w:rPr>
              <w:t xml:space="preserve">, 2025</w:t>
            </w:r>
          </w:p>
          <w:p>
            <w:pPr>
              <w:spacing w:after="70" w:before="70" w:line="250"/>
              <w:ind w:left="420" w:hanging="420"/>
              <w:jc w:val="both"/>
            </w:pPr>
            <w:r>
              <w:rPr>
                <w:rFonts w:ascii="Times New Roman" w:cs="Times New Roman" w:eastAsia="Times New Roman" w:hAnsi="Times New Roman"/>
                <w:sz w:val="21"/>
                <w:szCs w:val="21"/>
              </w:rPr>
              <w:t xml:space="preserve">[3] </w:t>
            </w:r>
            <w:r>
              <w:rPr>
                <w:rFonts w:ascii="Times New Roman" w:cs="Times New Roman" w:eastAsia="Times New Roman" w:hAnsi="Times New Roman"/>
                <w:sz w:val="21"/>
                <w:szCs w:val="21"/>
              </w:rPr>
              <w:t xml:space="preserve">E. Oladipo, S. Nazrul, and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Benchmarking deep learning architectures for ECG-based multi-label heart disease prediction using MIMIC-IV database. </w:t>
            </w:r>
            <w:r>
              <w:rPr>
                <w:rFonts w:ascii="Times New Roman" w:cs="Times New Roman" w:eastAsia="Times New Roman" w:hAnsi="Times New Roman"/>
                <w:i/>
                <w:iCs/>
                <w:sz w:val="21"/>
                <w:szCs w:val="21"/>
              </w:rPr>
              <w:t xml:space="preserve">International Symposium on Computer based Medical Systems</w:t>
            </w:r>
            <w:r>
              <w:rPr>
                <w:rFonts w:ascii="Times New Roman" w:cs="Times New Roman" w:eastAsia="Times New Roman" w:hAnsi="Times New Roman"/>
                <w:sz w:val="21"/>
                <w:szCs w:val="21"/>
              </w:rPr>
              <w:t xml:space="preserve">. IEEE, 2025</w:t>
            </w:r>
          </w:p>
          <w:p>
            <w:pPr>
              <w:spacing w:after="70" w:before="70" w:line="250"/>
              <w:ind w:left="420" w:hanging="420"/>
              <w:jc w:val="both"/>
            </w:pPr>
            <w:r>
              <w:rPr>
                <w:rFonts w:ascii="Times New Roman" w:cs="Times New Roman" w:eastAsia="Times New Roman" w:hAnsi="Times New Roman"/>
                <w:sz w:val="21"/>
                <w:szCs w:val="21"/>
              </w:rPr>
              <w:t xml:space="preserve">[4] </w:t>
            </w:r>
            <w:r>
              <w:rPr>
                <w:rFonts w:ascii="Times New Roman" w:cs="Times New Roman" w:eastAsia="Times New Roman" w:hAnsi="Times New Roman"/>
                <w:sz w:val="21"/>
                <w:szCs w:val="21"/>
              </w:rPr>
              <w:t xml:space="preserve">Y. Yang,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N. Kiyavash, K. Zhang, A. Ghassami. Causal discovery in linear models with unobserved variables and measurement error. NeurIPS 2024 </w:t>
            </w:r>
            <w:r>
              <w:rPr>
                <w:rFonts w:ascii="Times New Roman" w:cs="Times New Roman" w:eastAsia="Times New Roman" w:hAnsi="Times New Roman"/>
                <w:i/>
                <w:iCs/>
                <w:sz w:val="21"/>
                <w:szCs w:val="21"/>
              </w:rPr>
              <w:t xml:space="preserve">Causal Representation Learning Workshop</w:t>
            </w:r>
            <w:r>
              <w:rPr>
                <w:rFonts w:ascii="Times New Roman" w:cs="Times New Roman" w:eastAsia="Times New Roman" w:hAnsi="Times New Roman"/>
                <w:sz w:val="21"/>
                <w:szCs w:val="21"/>
              </w:rPr>
              <w:t xml:space="preserve">, 2024</w:t>
            </w:r>
          </w:p>
          <w:p>
            <w:pPr>
              <w:spacing w:after="70" w:before="70" w:line="250"/>
              <w:ind w:left="420" w:hanging="420"/>
              <w:jc w:val="both"/>
            </w:pPr>
            <w:r>
              <w:rPr>
                <w:rFonts w:ascii="Times New Roman" w:cs="Times New Roman" w:eastAsia="Times New Roman" w:hAnsi="Times New Roman"/>
                <w:sz w:val="21"/>
                <w:szCs w:val="21"/>
              </w:rPr>
              <w:t xml:space="preserve">[5] </w:t>
            </w:r>
            <w:r>
              <w:rPr>
                <w:rFonts w:ascii="Times New Roman" w:cs="Times New Roman" w:eastAsia="Times New Roman" w:hAnsi="Times New Roman"/>
                <w:sz w:val="21"/>
                <w:szCs w:val="21"/>
              </w:rPr>
              <w:t xml:space="preserve">Y. Yang, A. Ghassami,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N. Kiyavash, K. Zhang, I. Shpitser. Causal discovery in linear latent variable models subject to measurement error. </w:t>
            </w:r>
            <w:r>
              <w:rPr>
                <w:rFonts w:ascii="Times New Roman" w:cs="Times New Roman" w:eastAsia="Times New Roman" w:hAnsi="Times New Roman"/>
                <w:i/>
                <w:iCs/>
                <w:sz w:val="21"/>
                <w:szCs w:val="21"/>
              </w:rPr>
              <w:t xml:space="preserve">Advances in Neural Information Processing Systems</w:t>
            </w:r>
            <w:r>
              <w:rPr>
                <w:rFonts w:ascii="Times New Roman" w:cs="Times New Roman" w:eastAsia="Times New Roman" w:hAnsi="Times New Roman"/>
                <w:sz w:val="21"/>
                <w:szCs w:val="21"/>
              </w:rPr>
              <w:t xml:space="preserve"> 35 (2022): 874-886</w:t>
            </w:r>
          </w:p>
          <w:p>
            <w:pPr>
              <w:spacing w:after="70" w:before="70" w:line="250"/>
              <w:ind w:left="420" w:hanging="420"/>
              <w:jc w:val="both"/>
            </w:pPr>
            <w:r>
              <w:rPr>
                <w:rFonts w:ascii="Times New Roman" w:cs="Times New Roman" w:eastAsia="Times New Roman" w:hAnsi="Times New Roman"/>
                <w:sz w:val="21"/>
                <w:szCs w:val="21"/>
              </w:rPr>
              <w:t xml:space="preserve">[6] </w:t>
            </w:r>
            <w:r>
              <w:rPr>
                <w:rFonts w:ascii="Times New Roman" w:cs="Times New Roman" w:eastAsia="Times New Roman" w:hAnsi="Times New Roman"/>
                <w:sz w:val="21"/>
                <w:szCs w:val="21"/>
              </w:rPr>
              <w:t xml:space="preserve">Y. Yang,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A. Ghassami, and N. Kiyavash. Causal discovery in linear structural causal models with deterministic relations. </w:t>
            </w:r>
            <w:r>
              <w:rPr>
                <w:rFonts w:ascii="Times New Roman" w:cs="Times New Roman" w:eastAsia="Times New Roman" w:hAnsi="Times New Roman"/>
                <w:i/>
                <w:iCs/>
                <w:sz w:val="21"/>
                <w:szCs w:val="21"/>
              </w:rPr>
              <w:t xml:space="preserve">Conference on Causal Learning and Reasoning</w:t>
            </w:r>
            <w:r>
              <w:rPr>
                <w:rFonts w:ascii="Times New Roman" w:cs="Times New Roman" w:eastAsia="Times New Roman" w:hAnsi="Times New Roman"/>
                <w:sz w:val="21"/>
                <w:szCs w:val="21"/>
              </w:rPr>
              <w:t xml:space="preserve">. PMLR, 2022</w:t>
            </w:r>
          </w:p>
          <w:p>
            <w:pPr>
              <w:spacing w:after="70" w:before="70" w:line="250"/>
              <w:ind w:left="420" w:hanging="420"/>
              <w:jc w:val="both"/>
            </w:pPr>
            <w:r>
              <w:rPr>
                <w:rFonts w:ascii="Times New Roman" w:cs="Times New Roman" w:eastAsia="Times New Roman" w:hAnsi="Times New Roman"/>
                <w:sz w:val="21"/>
                <w:szCs w:val="21"/>
              </w:rPr>
              <w:t xml:space="preserve">[7] 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E. Shin, and A. Yener. Proportional fair clustered federated learning. </w:t>
            </w:r>
            <w:r>
              <w:rPr>
                <w:rFonts w:ascii="Times New Roman" w:cs="Times New Roman" w:eastAsia="Times New Roman" w:hAnsi="Times New Roman"/>
                <w:i/>
                <w:iCs/>
                <w:sz w:val="21"/>
                <w:szCs w:val="21"/>
              </w:rPr>
              <w:t xml:space="preserve">International Symposium on Information Theory</w:t>
            </w:r>
            <w:r>
              <w:rPr>
                <w:rFonts w:ascii="Times New Roman" w:cs="Times New Roman" w:eastAsia="Times New Roman" w:hAnsi="Times New Roman"/>
                <w:sz w:val="21"/>
                <w:szCs w:val="21"/>
              </w:rPr>
              <w:t xml:space="preserve">. IEEE, 2022</w:t>
            </w:r>
          </w:p>
          <w:p>
            <w:pPr>
              <w:spacing w:after="70" w:before="70" w:line="250"/>
              <w:ind w:left="420" w:hanging="420"/>
              <w:jc w:val="both"/>
            </w:pPr>
            <w:r>
              <w:rPr>
                <w:rFonts w:ascii="Times New Roman" w:cs="Times New Roman" w:eastAsia="Times New Roman" w:hAnsi="Times New Roman"/>
                <w:sz w:val="21"/>
                <w:szCs w:val="21"/>
              </w:rPr>
              <w:t xml:space="preserve">[8] 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and A. Yener. Secure communication in a multi-antenna wiretap channel with an intelligent reflecting surface. 17th </w:t>
            </w:r>
            <w:r>
              <w:rPr>
                <w:rFonts w:ascii="Times New Roman" w:cs="Times New Roman" w:eastAsia="Times New Roman" w:hAnsi="Times New Roman"/>
                <w:i/>
                <w:iCs/>
                <w:sz w:val="21"/>
                <w:szCs w:val="21"/>
              </w:rPr>
              <w:t xml:space="preserve">International Symposium on Wireless Communication Systems</w:t>
            </w:r>
            <w:r>
              <w:rPr>
                <w:rFonts w:ascii="Times New Roman" w:cs="Times New Roman" w:eastAsia="Times New Roman" w:hAnsi="Times New Roman"/>
                <w:sz w:val="21"/>
                <w:szCs w:val="21"/>
              </w:rPr>
              <w:t xml:space="preserve">. IEEE, 2021</w:t>
            </w:r>
          </w:p>
          <w:p>
            <w:pPr>
              <w:spacing w:after="70" w:before="70" w:line="250"/>
              <w:ind w:left="420" w:hanging="420"/>
              <w:jc w:val="both"/>
            </w:pPr>
            <w:r>
              <w:rPr>
                <w:rFonts w:ascii="Times New Roman" w:cs="Times New Roman" w:eastAsia="Times New Roman" w:hAnsi="Times New Roman"/>
                <w:sz w:val="21"/>
                <w:szCs w:val="21"/>
              </w:rPr>
              <w:t xml:space="preserve">[9] 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and A. Yener. Coded caching in presence of a wire and cache tapping adversary of type II. IEEE </w:t>
            </w:r>
            <w:r>
              <w:rPr>
                <w:rFonts w:ascii="Times New Roman" w:cs="Times New Roman" w:eastAsia="Times New Roman" w:hAnsi="Times New Roman"/>
                <w:i/>
                <w:iCs/>
                <w:sz w:val="21"/>
                <w:szCs w:val="21"/>
              </w:rPr>
              <w:t xml:space="preserve">Journal on Selected Areas in Information Theory</w:t>
            </w:r>
            <w:r>
              <w:rPr>
                <w:rFonts w:ascii="Times New Roman" w:cs="Times New Roman" w:eastAsia="Times New Roman" w:hAnsi="Times New Roman"/>
                <w:sz w:val="21"/>
                <w:szCs w:val="21"/>
              </w:rPr>
              <w:t xml:space="preserve"> 2.1 (2021): 65-81</w:t>
            </w:r>
          </w:p>
          <w:p>
            <w:pPr>
              <w:spacing w:after="70" w:before="70" w:line="250"/>
              <w:ind w:left="420" w:hanging="420"/>
              <w:jc w:val="both"/>
            </w:pPr>
            <w:r>
              <w:rPr>
                <w:rFonts w:ascii="Times New Roman" w:cs="Times New Roman" w:eastAsia="Times New Roman" w:hAnsi="Times New Roman"/>
                <w:sz w:val="21"/>
                <w:szCs w:val="21"/>
              </w:rPr>
              <w:t xml:space="preserve">[10] 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and A. Yener. Generalizing multiple access wiretap and wiretap II channel models: Achievable rates and cost of strong secrecy. IEEE </w:t>
            </w:r>
            <w:r>
              <w:rPr>
                <w:rFonts w:ascii="Times New Roman" w:cs="Times New Roman" w:eastAsia="Times New Roman" w:hAnsi="Times New Roman"/>
                <w:i/>
                <w:iCs/>
                <w:sz w:val="21"/>
                <w:szCs w:val="21"/>
              </w:rPr>
              <w:t xml:space="preserve">Transactions on Information Theory</w:t>
            </w:r>
            <w:r>
              <w:rPr>
                <w:rFonts w:ascii="Times New Roman" w:cs="Times New Roman" w:eastAsia="Times New Roman" w:hAnsi="Times New Roman"/>
                <w:sz w:val="21"/>
                <w:szCs w:val="21"/>
              </w:rPr>
              <w:t xml:space="preserve"> 65.8 (2019): 5125-5143</w:t>
            </w:r>
          </w:p>
          <w:p>
            <w:pPr>
              <w:spacing w:after="70" w:before="70" w:line="250"/>
              <w:ind w:left="420" w:hanging="420"/>
              <w:jc w:val="both"/>
            </w:pPr>
            <w:r>
              <w:rPr>
                <w:rFonts w:ascii="Times New Roman" w:cs="Times New Roman" w:eastAsia="Times New Roman" w:hAnsi="Times New Roman"/>
                <w:sz w:val="21"/>
                <w:szCs w:val="21"/>
              </w:rPr>
              <w:t xml:space="preserve">[11] 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and A. Yener. A new wiretap channel model and its strong secrecy capacity. IEEE </w:t>
            </w:r>
            <w:r>
              <w:rPr>
                <w:rFonts w:ascii="Times New Roman" w:cs="Times New Roman" w:eastAsia="Times New Roman" w:hAnsi="Times New Roman"/>
                <w:i/>
                <w:iCs/>
                <w:sz w:val="21"/>
                <w:szCs w:val="21"/>
              </w:rPr>
              <w:t xml:space="preserve">Transactions on Information Theory</w:t>
            </w:r>
            <w:r>
              <w:rPr>
                <w:rFonts w:ascii="Times New Roman" w:cs="Times New Roman" w:eastAsia="Times New Roman" w:hAnsi="Times New Roman"/>
                <w:sz w:val="21"/>
                <w:szCs w:val="21"/>
              </w:rPr>
              <w:t xml:space="preserve"> 64.3 (2017): 2077-2092</w:t>
            </w:r>
          </w:p>
          <w:p>
            <w:pPr>
              <w:spacing w:after="70" w:before="70" w:line="250"/>
              <w:ind w:left="420" w:hanging="420"/>
              <w:jc w:val="both"/>
            </w:pPr>
            <w:r>
              <w:rPr>
                <w:rFonts w:ascii="Times New Roman" w:cs="Times New Roman" w:eastAsia="Times New Roman" w:hAnsi="Times New Roman"/>
                <w:sz w:val="21"/>
                <w:szCs w:val="21"/>
              </w:rPr>
              <w:t xml:space="preserve">[12] 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and A. Yener. Wiretap channel II with a noisy main channel. </w:t>
            </w:r>
            <w:r>
              <w:rPr>
                <w:rFonts w:ascii="Times New Roman" w:cs="Times New Roman" w:eastAsia="Times New Roman" w:hAnsi="Times New Roman"/>
                <w:i/>
                <w:iCs/>
                <w:sz w:val="21"/>
                <w:szCs w:val="21"/>
              </w:rPr>
              <w:t xml:space="preserve">International Symposium in Information Theory</w:t>
            </w:r>
            <w:r>
              <w:rPr>
                <w:rFonts w:ascii="Times New Roman" w:cs="Times New Roman" w:eastAsia="Times New Roman" w:hAnsi="Times New Roman"/>
                <w:sz w:val="21"/>
                <w:szCs w:val="21"/>
              </w:rPr>
              <w:t xml:space="preserve">. IEEE, 2015</w:t>
            </w:r>
          </w:p>
          <w:p>
            <w:pPr>
              <w:spacing w:after="70" w:before="70" w:line="250"/>
              <w:ind w:left="420" w:hanging="420"/>
              <w:jc w:val="both"/>
            </w:pPr>
            <w:r>
              <w:rPr>
                <w:rFonts w:ascii="Times New Roman" w:cs="Times New Roman" w:eastAsia="Times New Roman" w:hAnsi="Times New Roman"/>
                <w:sz w:val="21"/>
                <w:szCs w:val="21"/>
              </w:rPr>
              <w:t xml:space="preserve">[13] </w:t>
            </w:r>
            <w:r>
              <w:rPr>
                <w:rFonts w:ascii="Times New Roman" w:cs="Times New Roman" w:eastAsia="Times New Roman" w:hAnsi="Times New Roman"/>
                <w:sz w:val="21"/>
                <w:szCs w:val="21"/>
              </w:rPr>
              <w:t xml:space="preserve">B. Guler, B. Varan, K. Tutuncuoglu,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et.al. Using social sensors for influence propagation in networks with positive and negative relationships. IEEE </w:t>
            </w:r>
            <w:r>
              <w:rPr>
                <w:rFonts w:ascii="Times New Roman" w:cs="Times New Roman" w:eastAsia="Times New Roman" w:hAnsi="Times New Roman"/>
                <w:i/>
                <w:iCs/>
                <w:sz w:val="21"/>
                <w:szCs w:val="21"/>
              </w:rPr>
              <w:t xml:space="preserve">Journal of Selected Topics in Signal Processing</w:t>
            </w:r>
            <w:r>
              <w:rPr>
                <w:rFonts w:ascii="Times New Roman" w:cs="Times New Roman" w:eastAsia="Times New Roman" w:hAnsi="Times New Roman"/>
                <w:sz w:val="21"/>
                <w:szCs w:val="21"/>
              </w:rPr>
              <w:t xml:space="preserve"> 9.2 (2015): 360-373</w:t>
            </w:r>
          </w:p>
          <w:p>
            <w:pPr>
              <w:spacing w:after="70" w:before="70" w:line="250"/>
              <w:ind w:left="420" w:hanging="420"/>
              <w:jc w:val="both"/>
            </w:pPr>
            <w:r>
              <w:rPr>
                <w:rFonts w:ascii="Times New Roman" w:cs="Times New Roman" w:eastAsia="Times New Roman" w:hAnsi="Times New Roman"/>
                <w:sz w:val="21"/>
                <w:szCs w:val="21"/>
              </w:rPr>
              <w:t xml:space="preserve">[14] </w:t>
            </w:r>
            <w:r>
              <w:rPr>
                <w:rFonts w:ascii="Times New Roman" w:cs="Times New Roman" w:eastAsia="Times New Roman" w:hAnsi="Times New Roman"/>
                <w:sz w:val="21"/>
                <w:szCs w:val="21"/>
              </w:rPr>
              <w:t xml:space="preserve">A. Zewail,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and Aylin Yener. Multi-terminal networks with an untrusted relay. </w:t>
            </w:r>
            <w:r>
              <w:rPr>
                <w:rFonts w:ascii="Times New Roman" w:cs="Times New Roman" w:eastAsia="Times New Roman" w:hAnsi="Times New Roman"/>
                <w:i/>
                <w:iCs/>
                <w:sz w:val="21"/>
                <w:szCs w:val="21"/>
              </w:rPr>
              <w:t xml:space="preserve">Allerton Conference on Communication, Control, and Computing</w:t>
            </w:r>
            <w:r>
              <w:rPr>
                <w:rFonts w:ascii="Times New Roman" w:cs="Times New Roman" w:eastAsia="Times New Roman" w:hAnsi="Times New Roman"/>
                <w:sz w:val="21"/>
                <w:szCs w:val="21"/>
              </w:rPr>
              <w:t xml:space="preserve">. IEEE, 2014</w:t>
            </w:r>
          </w:p>
          <w:p>
            <w:pPr>
              <w:spacing w:after="70" w:before="70" w:line="250"/>
              <w:ind w:left="420" w:hanging="420"/>
              <w:jc w:val="both"/>
            </w:pPr>
            <w:r>
              <w:rPr>
                <w:rFonts w:ascii="Times New Roman" w:cs="Times New Roman" w:eastAsia="Times New Roman" w:hAnsi="Times New Roman"/>
                <w:sz w:val="21"/>
                <w:szCs w:val="21"/>
              </w:rPr>
              <w:t xml:space="preserve">[15] 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D. Hamza, K. G. Seddik, M. Nafie and H. El Gamal. On the ARQ protocols over the z-interference channels: Diversity-multiplexing-delay tradeoff. </w:t>
            </w:r>
            <w:r>
              <w:rPr>
                <w:rFonts w:ascii="Times New Roman" w:cs="Times New Roman" w:eastAsia="Times New Roman" w:hAnsi="Times New Roman"/>
                <w:i/>
                <w:iCs/>
                <w:sz w:val="21"/>
                <w:szCs w:val="21"/>
              </w:rPr>
              <w:t xml:space="preserve">International Symposium in Information Theory</w:t>
            </w:r>
            <w:r>
              <w:rPr>
                <w:rFonts w:ascii="Times New Roman" w:cs="Times New Roman" w:eastAsia="Times New Roman" w:hAnsi="Times New Roman"/>
                <w:sz w:val="21"/>
                <w:szCs w:val="21"/>
              </w:rPr>
              <w:t xml:space="preserve">. IEEE, 2012</w:t>
            </w:r>
          </w:p>
          <w:p>
            <w:pPr>
              <w:spacing w:after="70" w:before="70" w:line="250"/>
              <w:ind w:left="420" w:hanging="420"/>
              <w:jc w:val="both"/>
            </w:pPr>
            <w:r>
              <w:rPr>
                <w:rFonts w:ascii="Times New Roman" w:cs="Times New Roman" w:eastAsia="Times New Roman" w:hAnsi="Times New Roman"/>
                <w:sz w:val="21"/>
                <w:szCs w:val="21"/>
              </w:rPr>
              <w:t xml:space="preserve">[16] 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K. G. Seddik, M. Nafie and H. El Gamal. On the diversity gain region of the z-interference channels. </w:t>
            </w:r>
            <w:r>
              <w:rPr>
                <w:rFonts w:ascii="Times New Roman" w:cs="Times New Roman" w:eastAsia="Times New Roman" w:hAnsi="Times New Roman"/>
                <w:i/>
                <w:iCs/>
                <w:sz w:val="21"/>
                <w:szCs w:val="21"/>
              </w:rPr>
              <w:t xml:space="preserve">International Conference in Communications</w:t>
            </w:r>
            <w:r>
              <w:rPr>
                <w:rFonts w:ascii="Times New Roman" w:cs="Times New Roman" w:eastAsia="Times New Roman" w:hAnsi="Times New Roman"/>
                <w:sz w:val="21"/>
                <w:szCs w:val="21"/>
              </w:rPr>
              <w:t xml:space="preserve">. IEEE, 2012</w:t>
            </w:r>
          </w:p>
          <w:p>
            <w:pPr>
              <w:pBdr>
                <w:bottom w:val="single" w:color="000000" w:sz="6" w:space="1"/>
              </w:pBdr>
              <w:spacing w:after="160" w:before="200"/>
            </w:pPr>
            <w:r>
              <w:rPr>
                <w:rFonts w:ascii="Times New Roman" w:cs="Times New Roman" w:eastAsia="Times New Roman" w:hAnsi="Times New Roman"/>
                <w:sz w:val="10"/>
                <w:szCs w:val="10"/>
              </w:rPr>
              <w:t xml:space="preserve"/>
            </w:r>
          </w:p>
        </w:tc>
      </w:tr>
      <w:tr>
        <w:trPr>
          <w:cantSplit/>
        </w:trPr>
        <w:tc>
          <w:tcPr>
            <w:tcW w:type="dxa" w:w="1900"/>
            <w:tcBorders>
              <w:top w:val="none" w:color="FFFFFF" w:sz="0"/>
              <w:left w:val="none" w:color="FFFFFF" w:sz="0"/>
              <w:bottom w:val="none" w:color="FFFFFF" w:sz="0"/>
              <w:right w:val="none" w:color="FFFFFF" w:sz="0"/>
            </w:tcBorders>
            <w:tcMar>
              <w:top w:type="dxa" w:w="0"/>
              <w:left w:type="dxa" w:w="0"/>
              <w:bottom w:type="dxa" w:w="0"/>
              <w:right w:type="dxa" w:w="120"/>
            </w:tcMar>
          </w:tcPr>
          <w:p>
            <w:pPr>
              <w:spacing w:after="0" w:before="20" w:line="250"/>
            </w:pPr>
            <w:r>
              <w:rPr>
                <w:rFonts w:ascii="Times New Roman" w:cs="Times New Roman" w:eastAsia="Times New Roman" w:hAnsi="Times New Roman"/>
                <w:smallCaps/>
                <w:spacing w:val="6"/>
                <w:sz w:val="19"/>
                <w:szCs w:val="19"/>
              </w:rPr>
              <w:t xml:space="preserve">Book Chapters</w:t>
            </w:r>
          </w:p>
        </w:tc>
        <w:tc>
          <w:tcPr>
            <w:tcW w:type="dxa" w:w="8180"/>
            <w:tcBorders>
              <w:top w:val="none" w:color="FFFFFF" w:sz="0"/>
              <w:left w:val="none" w:color="FFFFFF" w:sz="0"/>
              <w:bottom w:val="none" w:color="FFFFFF" w:sz="0"/>
              <w:right w:val="none" w:color="FFFFFF" w:sz="0"/>
            </w:tcBorders>
            <w:tcMar>
              <w:top w:type="dxa" w:w="0"/>
              <w:left w:type="dxa" w:w="0"/>
              <w:bottom w:type="dxa" w:w="0"/>
              <w:right w:type="dxa" w:w="0"/>
            </w:tcMar>
          </w:tcPr>
          <w:p>
            <w:pPr>
              <w:spacing w:after="70" w:before="70" w:line="250"/>
              <w:ind w:left="420" w:hanging="420"/>
              <w:jc w:val="both"/>
            </w:pPr>
            <w:r>
              <w:rPr>
                <w:rFonts w:ascii="Times New Roman" w:cs="Times New Roman" w:eastAsia="Times New Roman" w:hAnsi="Times New Roman"/>
                <w:sz w:val="21"/>
                <w:szCs w:val="21"/>
              </w:rPr>
              <w:t xml:space="preserve">[1] 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and A. Yener, Secrecy of edge caching; Edge caching for mobile networks, Editors: V. Poor and W. Chen, The Institution of Engineering and Technology 2021</w:t>
            </w:r>
          </w:p>
          <w:p>
            <w:pPr>
              <w:spacing w:after="70" w:before="70" w:line="250"/>
              <w:ind w:left="420" w:hanging="420"/>
              <w:jc w:val="both"/>
            </w:pPr>
            <w:r>
              <w:rPr>
                <w:rFonts w:ascii="Times New Roman" w:cs="Times New Roman" w:eastAsia="Times New Roman" w:hAnsi="Times New Roman"/>
                <w:sz w:val="21"/>
                <w:szCs w:val="21"/>
              </w:rPr>
              <w:t xml:space="preserve">[2] </w:t>
            </w:r>
            <w:r>
              <w:rPr>
                <w:rFonts w:ascii="Times New Roman" w:cs="Times New Roman" w:eastAsia="Times New Roman" w:hAnsi="Times New Roman"/>
                <w:b/>
                <w:bCs/>
                <w:sz w:val="21"/>
                <w:szCs w:val="21"/>
              </w:rPr>
              <w:t xml:space="preserve">M. Nafea</w:t>
            </w:r>
            <w:r>
              <w:rPr>
                <w:rFonts w:ascii="Times New Roman" w:cs="Times New Roman" w:eastAsia="Times New Roman" w:hAnsi="Times New Roman"/>
                <w:sz w:val="21"/>
                <w:szCs w:val="21"/>
              </w:rPr>
              <w:t xml:space="preserve"> and A. Yener, MIMO wiretap channels; Information theoretic security and privacy of information systems, Editors: R. Schaefer, H. Boche, A. Khisti, and V. Poor, Cambridge Univ. Press 2017</w:t>
            </w:r>
          </w:p>
          <w:p>
            <w:pPr>
              <w:pBdr>
                <w:bottom w:val="single" w:color="000000" w:sz="6" w:space="1"/>
              </w:pBdr>
              <w:spacing w:after="160" w:before="200"/>
            </w:pPr>
            <w:r>
              <w:rPr>
                <w:rFonts w:ascii="Times New Roman" w:cs="Times New Roman" w:eastAsia="Times New Roman" w:hAnsi="Times New Roman"/>
                <w:sz w:val="10"/>
                <w:szCs w:val="10"/>
              </w:rPr>
              <w:t xml:space="preserve"/>
            </w:r>
          </w:p>
        </w:tc>
      </w:tr>
      <w:tr>
        <w:trPr>
          <w:cantSplit/>
        </w:trPr>
        <w:tc>
          <w:tcPr>
            <w:tcW w:type="dxa" w:w="1900"/>
            <w:tcBorders>
              <w:top w:val="none" w:color="FFFFFF" w:sz="0"/>
              <w:left w:val="none" w:color="FFFFFF" w:sz="0"/>
              <w:bottom w:val="none" w:color="FFFFFF" w:sz="0"/>
              <w:right w:val="none" w:color="FFFFFF" w:sz="0"/>
            </w:tcBorders>
            <w:tcMar>
              <w:top w:type="dxa" w:w="0"/>
              <w:left w:type="dxa" w:w="0"/>
              <w:bottom w:type="dxa" w:w="0"/>
              <w:right w:type="dxa" w:w="120"/>
            </w:tcMar>
          </w:tcPr>
          <w:p>
            <w:pPr>
              <w:spacing w:after="0" w:before="20" w:line="250"/>
            </w:pPr>
            <w:r>
              <w:rPr>
                <w:rFonts w:ascii="Times New Roman" w:cs="Times New Roman" w:eastAsia="Times New Roman" w:hAnsi="Times New Roman"/>
                <w:smallCaps/>
                <w:spacing w:val="6"/>
                <w:sz w:val="19"/>
                <w:szCs w:val="19"/>
              </w:rPr>
              <w:t xml:space="preserve">Service</w:t>
            </w:r>
          </w:p>
          <w:p>
            <w:pPr>
              <w:spacing w:after="0" w:before="0" w:line="250"/>
            </w:pPr>
            <w:r>
              <w:rPr>
                <w:rFonts w:ascii="Times New Roman" w:cs="Times New Roman" w:eastAsia="Times New Roman" w:hAnsi="Times New Roman"/>
                <w:smallCaps/>
                <w:spacing w:val="6"/>
                <w:sz w:val="19"/>
                <w:szCs w:val="19"/>
              </w:rPr>
              <w:t xml:space="preserve">Activities</w:t>
            </w:r>
          </w:p>
        </w:tc>
        <w:tc>
          <w:tcPr>
            <w:tcW w:type="dxa" w:w="818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180"/>
              </w:tabs>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Associate Editor</w:t>
            </w:r>
            <w:r>
              <w:rPr>
                <w:rFonts w:ascii="Times New Roman" w:cs="Times New Roman" w:eastAsia="Times New Roman" w:hAnsi="Times New Roman"/>
                <w:sz w:val="21"/>
                <w:szCs w:val="21"/>
              </w:rPr>
              <w:t xml:space="preserve"> – Sustainable Computing: Informatics &amp; Systems</w:t>
            </w:r>
            <w:r>
              <w:rPr>
                <w:rFonts w:ascii="Times New Roman" w:cs="Times New Roman" w:eastAsia="Times New Roman" w:hAnsi="Times New Roman"/>
                <w:sz w:val="21"/>
                <w:szCs w:val="21"/>
              </w:rPr>
              <w:t xml:space="preserve">	(2024 – present)</w:t>
            </w:r>
          </w:p>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Technical Paper Committee co-Chair</w:t>
            </w:r>
            <w:r>
              <w:rPr>
                <w:rFonts w:ascii="Times New Roman" w:cs="Times New Roman" w:eastAsia="Times New Roman" w:hAnsi="Times New Roman"/>
                <w:sz w:val="21"/>
                <w:szCs w:val="21"/>
              </w:rPr>
              <w:t xml:space="preserve"> – 11th Workshop on Smart Service Systems at IEEE SmartComp 2026</w:t>
            </w:r>
          </w:p>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Technical Paper Committee member</w:t>
            </w:r>
            <w:r>
              <w:rPr>
                <w:rFonts w:ascii="Times New Roman" w:cs="Times New Roman" w:eastAsia="Times New Roman" w:hAnsi="Times New Roman"/>
                <w:sz w:val="21"/>
                <w:szCs w:val="21"/>
              </w:rPr>
              <w:t xml:space="preserve"> – IEEE Smart Computing Conference 2026</w:t>
            </w:r>
          </w:p>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Technical Paper Committee member</w:t>
            </w:r>
            <w:r>
              <w:rPr>
                <w:rFonts w:ascii="Times New Roman" w:cs="Times New Roman" w:eastAsia="Times New Roman" w:hAnsi="Times New Roman"/>
                <w:sz w:val="21"/>
                <w:szCs w:val="21"/>
              </w:rPr>
              <w:t xml:space="preserve"> – IEEE Computer Society Annual Conference 2025</w:t>
            </w:r>
          </w:p>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Technical Paper Committee member</w:t>
            </w:r>
            <w:r>
              <w:rPr>
                <w:rFonts w:ascii="Times New Roman" w:cs="Times New Roman" w:eastAsia="Times New Roman" w:hAnsi="Times New Roman"/>
                <w:sz w:val="21"/>
                <w:szCs w:val="21"/>
              </w:rPr>
              <w:t xml:space="preserve"> – IEEE International Symposium in Info. Theory 2022</w:t>
            </w:r>
          </w:p>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Active Reviewer</w:t>
            </w:r>
            <w:r>
              <w:rPr>
                <w:rFonts w:ascii="Times New Roman" w:cs="Times New Roman" w:eastAsia="Times New Roman" w:hAnsi="Times New Roman"/>
                <w:sz w:val="21"/>
                <w:szCs w:val="21"/>
              </w:rPr>
              <w:t xml:space="preserve"> at several journals and conferences including the International Conference on Learning Representations, IEEE Transactions of Information Theory, Machine Learning for Health Symposium, International Joint Conference in Artificial Intelligence, and IEEE Journal of Selected Areas in Information Theory</w:t>
            </w:r>
          </w:p>
          <w:p>
            <w:pPr>
              <w:pBdr>
                <w:bottom w:val="single" w:color="000000" w:sz="6" w:space="1"/>
              </w:pBdr>
              <w:spacing w:after="160" w:before="200"/>
            </w:pPr>
            <w:r>
              <w:rPr>
                <w:rFonts w:ascii="Times New Roman" w:cs="Times New Roman" w:eastAsia="Times New Roman" w:hAnsi="Times New Roman"/>
                <w:sz w:val="10"/>
                <w:szCs w:val="10"/>
              </w:rPr>
              <w:t xml:space="preserve"/>
            </w:r>
          </w:p>
        </w:tc>
      </w:tr>
      <w:tr>
        <w:trPr>
          <w:cantSplit/>
        </w:trPr>
        <w:tc>
          <w:tcPr>
            <w:tcW w:type="dxa" w:w="1900"/>
            <w:tcBorders>
              <w:top w:val="none" w:color="FFFFFF" w:sz="0"/>
              <w:left w:val="none" w:color="FFFFFF" w:sz="0"/>
              <w:bottom w:val="none" w:color="FFFFFF" w:sz="0"/>
              <w:right w:val="none" w:color="FFFFFF" w:sz="0"/>
            </w:tcBorders>
            <w:tcMar>
              <w:top w:type="dxa" w:w="0"/>
              <w:left w:type="dxa" w:w="0"/>
              <w:bottom w:type="dxa" w:w="0"/>
              <w:right w:type="dxa" w:w="120"/>
            </w:tcMar>
          </w:tcPr>
          <w:p>
            <w:pPr>
              <w:spacing w:after="0" w:before="20" w:line="250"/>
            </w:pPr>
            <w:r>
              <w:rPr>
                <w:rFonts w:ascii="Times New Roman" w:cs="Times New Roman" w:eastAsia="Times New Roman" w:hAnsi="Times New Roman"/>
                <w:smallCaps/>
                <w:spacing w:val="6"/>
                <w:sz w:val="19"/>
                <w:szCs w:val="19"/>
              </w:rPr>
              <w:t xml:space="preserve">Honors and</w:t>
            </w:r>
          </w:p>
          <w:p>
            <w:pPr>
              <w:spacing w:after="0" w:before="0" w:line="250"/>
            </w:pPr>
            <w:r>
              <w:rPr>
                <w:rFonts w:ascii="Times New Roman" w:cs="Times New Roman" w:eastAsia="Times New Roman" w:hAnsi="Times New Roman"/>
                <w:smallCaps/>
                <w:spacing w:val="6"/>
                <w:sz w:val="19"/>
                <w:szCs w:val="19"/>
              </w:rPr>
              <w:t xml:space="preserve">Awards</w:t>
            </w:r>
          </w:p>
        </w:tc>
        <w:tc>
          <w:tcPr>
            <w:tcW w:type="dxa" w:w="8180"/>
            <w:tcBorders>
              <w:top w:val="none" w:color="FFFFFF" w:sz="0"/>
              <w:left w:val="none" w:color="FFFFFF" w:sz="0"/>
              <w:bottom w:val="none" w:color="FFFFFF" w:sz="0"/>
              <w:right w:val="none" w:color="FFFFFF" w:sz="0"/>
            </w:tcBorders>
            <w:tcMar>
              <w:top w:type="dxa" w:w="0"/>
              <w:left w:type="dxa" w:w="0"/>
              <w:bottom w:type="dxa" w:w="0"/>
              <w:right w:type="dxa" w:w="0"/>
            </w:tcMar>
          </w:tcPr>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NSF 22-598 CISE Research Initiation Initiative (CRII) award 2023: </w:t>
            </w:r>
            <w:r>
              <w:rPr>
                <w:rFonts w:ascii="Times New Roman" w:cs="Times New Roman" w:eastAsia="Times New Roman" w:hAnsi="Times New Roman"/>
                <w:b/>
                <w:bCs/>
                <w:sz w:val="21"/>
                <w:szCs w:val="21"/>
              </w:rPr>
              <w:t xml:space="preserve">amount = $174,850</w:t>
            </w:r>
          </w:p>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UDM Professor union ’24-25 faculty research award: </w:t>
            </w:r>
            <w:r>
              <w:rPr>
                <w:rFonts w:ascii="Times New Roman" w:cs="Times New Roman" w:eastAsia="Times New Roman" w:hAnsi="Times New Roman"/>
                <w:b/>
                <w:bCs/>
                <w:sz w:val="21"/>
                <w:szCs w:val="21"/>
              </w:rPr>
              <w:t xml:space="preserve">amount = $ 21,300</w:t>
            </w:r>
          </w:p>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UDM Professor union ’22-23 faculty research award: </w:t>
            </w:r>
            <w:r>
              <w:rPr>
                <w:rFonts w:ascii="Times New Roman" w:cs="Times New Roman" w:eastAsia="Times New Roman" w:hAnsi="Times New Roman"/>
                <w:b/>
                <w:bCs/>
                <w:sz w:val="21"/>
                <w:szCs w:val="21"/>
              </w:rPr>
              <w:t xml:space="preserve">amount = $ 11,100</w:t>
            </w:r>
          </w:p>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EE </w:t>
            </w:r>
            <w:r>
              <w:rPr>
                <w:rFonts w:ascii="Times New Roman" w:cs="Times New Roman" w:eastAsia="Times New Roman" w:hAnsi="Times New Roman"/>
                <w:i/>
                <w:iCs/>
                <w:sz w:val="21"/>
                <w:szCs w:val="21"/>
              </w:rPr>
              <w:t xml:space="preserve">nominee</w:t>
            </w:r>
            <w:r>
              <w:rPr>
                <w:rFonts w:ascii="Times New Roman" w:cs="Times New Roman" w:eastAsia="Times New Roman" w:hAnsi="Times New Roman"/>
                <w:sz w:val="21"/>
                <w:szCs w:val="21"/>
              </w:rPr>
              <w:t xml:space="preserve"> for </w:t>
            </w:r>
            <w:r>
              <w:rPr>
                <w:rFonts w:ascii="Times New Roman" w:cs="Times New Roman" w:eastAsia="Times New Roman" w:hAnsi="Times New Roman"/>
                <w:i/>
                <w:iCs/>
                <w:sz w:val="21"/>
                <w:szCs w:val="21"/>
              </w:rPr>
              <w:t xml:space="preserve">Penn State engineering college’s distinguished teaching fellowship (FRA)</w:t>
            </w:r>
            <w:r>
              <w:rPr>
                <w:rFonts w:ascii="Times New Roman" w:cs="Times New Roman" w:eastAsia="Times New Roman" w:hAnsi="Times New Roman"/>
                <w:sz w:val="21"/>
                <w:szCs w:val="21"/>
              </w:rPr>
              <w:t xml:space="preserve"> (2017 – 2018)</w:t>
            </w:r>
          </w:p>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Departmental fellowship, Penn State, EE (Fall’12 – Spring’14)</w:t>
            </w:r>
          </w:p>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Certificate of merit, 1st class honors, B.Sc. in electrical engineering, Alexandria University (2005 – 2010).</w:t>
            </w:r>
          </w:p>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Ranked in the top 1% in cumulative grade for my undergrad, Class of 2010, electrical engineering, Alexandria University</w:t>
            </w:r>
          </w:p>
          <w:p>
            <w:pPr>
              <w:pBdr>
                <w:bottom w:val="single" w:color="000000" w:sz="6" w:space="1"/>
              </w:pBdr>
              <w:spacing w:after="160" w:before="200"/>
            </w:pPr>
            <w:r>
              <w:rPr>
                <w:rFonts w:ascii="Times New Roman" w:cs="Times New Roman" w:eastAsia="Times New Roman" w:hAnsi="Times New Roman"/>
                <w:sz w:val="10"/>
                <w:szCs w:val="10"/>
              </w:rPr>
              <w:t xml:space="preserve"/>
            </w:r>
          </w:p>
        </w:tc>
      </w:tr>
      <w:tr>
        <w:trPr>
          <w:cantSplit/>
        </w:trPr>
        <w:tc>
          <w:tcPr>
            <w:tcW w:type="dxa" w:w="1900"/>
            <w:tcBorders>
              <w:top w:val="none" w:color="FFFFFF" w:sz="0"/>
              <w:left w:val="none" w:color="FFFFFF" w:sz="0"/>
              <w:bottom w:val="none" w:color="FFFFFF" w:sz="0"/>
              <w:right w:val="none" w:color="FFFFFF" w:sz="0"/>
            </w:tcBorders>
            <w:tcMar>
              <w:top w:type="dxa" w:w="0"/>
              <w:left w:type="dxa" w:w="0"/>
              <w:bottom w:type="dxa" w:w="0"/>
              <w:right w:type="dxa" w:w="120"/>
            </w:tcMar>
          </w:tcPr>
          <w:p>
            <w:pPr>
              <w:spacing w:after="0" w:before="20" w:line="250"/>
            </w:pPr>
            <w:r>
              <w:rPr>
                <w:rFonts w:ascii="Times New Roman" w:cs="Times New Roman" w:eastAsia="Times New Roman" w:hAnsi="Times New Roman"/>
                <w:smallCaps/>
                <w:spacing w:val="6"/>
                <w:sz w:val="19"/>
                <w:szCs w:val="19"/>
              </w:rPr>
              <w:t xml:space="preserve">Professional</w:t>
            </w:r>
          </w:p>
          <w:p>
            <w:pPr>
              <w:spacing w:after="0" w:before="0" w:line="250"/>
            </w:pPr>
            <w:r>
              <w:rPr>
                <w:rFonts w:ascii="Times New Roman" w:cs="Times New Roman" w:eastAsia="Times New Roman" w:hAnsi="Times New Roman"/>
                <w:smallCaps/>
                <w:spacing w:val="6"/>
                <w:sz w:val="19"/>
                <w:szCs w:val="19"/>
              </w:rPr>
              <w:t xml:space="preserve">Memberships</w:t>
            </w:r>
          </w:p>
        </w:tc>
        <w:tc>
          <w:tcPr>
            <w:tcW w:type="dxa" w:w="818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180"/>
              </w:tabs>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Institute of Electrical and Electronics Engineers (IEEE) – Senior Member</w:t>
            </w:r>
            <w:r>
              <w:rPr>
                <w:rFonts w:ascii="Times New Roman" w:cs="Times New Roman" w:eastAsia="Times New Roman" w:hAnsi="Times New Roman"/>
                <w:sz w:val="21"/>
                <w:szCs w:val="21"/>
              </w:rPr>
              <w:t xml:space="preserve">	14 years</w:t>
            </w:r>
          </w:p>
          <w:p>
            <w:pPr>
              <w:tabs>
                <w:tab w:val="right" w:pos="8180"/>
              </w:tabs>
              <w:spacing w:after="40" w:before="40" w:line="250"/>
              <w:ind w:left="78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IEEE Information Theory Society member</w:t>
            </w:r>
            <w:r>
              <w:rPr>
                <w:rFonts w:ascii="Times New Roman" w:cs="Times New Roman" w:eastAsia="Times New Roman" w:hAnsi="Times New Roman"/>
                <w:sz w:val="21"/>
                <w:szCs w:val="21"/>
              </w:rPr>
              <w:t xml:space="preserve">	10 years</w:t>
            </w:r>
          </w:p>
          <w:p>
            <w:pPr>
              <w:tabs>
                <w:tab w:val="right" w:pos="8180"/>
              </w:tabs>
              <w:spacing w:after="40" w:before="40" w:line="250"/>
              <w:ind w:left="78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IEEE Computational Intelligence Society member</w:t>
            </w:r>
            <w:r>
              <w:rPr>
                <w:rFonts w:ascii="Times New Roman" w:cs="Times New Roman" w:eastAsia="Times New Roman" w:hAnsi="Times New Roman"/>
                <w:sz w:val="21"/>
                <w:szCs w:val="21"/>
              </w:rPr>
              <w:t xml:space="preserve">	2 year</w:t>
            </w:r>
          </w:p>
          <w:p>
            <w:pPr>
              <w:tabs>
                <w:tab w:val="right" w:pos="8180"/>
              </w:tabs>
              <w:spacing w:after="40" w:before="40" w:line="250"/>
              <w:ind w:left="78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IEEE Society on Social Implications of Technology member</w:t>
            </w:r>
            <w:r>
              <w:rPr>
                <w:rFonts w:ascii="Times New Roman" w:cs="Times New Roman" w:eastAsia="Times New Roman" w:hAnsi="Times New Roman"/>
                <w:sz w:val="21"/>
                <w:szCs w:val="21"/>
              </w:rPr>
              <w:t xml:space="preserve">	2 year</w:t>
            </w:r>
          </w:p>
          <w:p>
            <w:pPr>
              <w:tabs>
                <w:tab w:val="right" w:pos="8180"/>
              </w:tabs>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Society for Causal Inference (SCI) member</w:t>
            </w:r>
            <w:r>
              <w:rPr>
                <w:rFonts w:ascii="Times New Roman" w:cs="Times New Roman" w:eastAsia="Times New Roman" w:hAnsi="Times New Roman"/>
                <w:sz w:val="21"/>
                <w:szCs w:val="21"/>
              </w:rPr>
              <w:t xml:space="preserve">	2 years</w:t>
            </w:r>
          </w:p>
          <w:p>
            <w:pPr>
              <w:tabs>
                <w:tab w:val="right" w:pos="8180"/>
              </w:tabs>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Association for Computing Machinery (ACM) member</w:t>
            </w:r>
            <w:r>
              <w:rPr>
                <w:rFonts w:ascii="Times New Roman" w:cs="Times New Roman" w:eastAsia="Times New Roman" w:hAnsi="Times New Roman"/>
                <w:sz w:val="21"/>
                <w:szCs w:val="21"/>
              </w:rPr>
              <w:t xml:space="preserve">	2 year</w:t>
            </w:r>
          </w:p>
          <w:p>
            <w:pPr>
              <w:pBdr>
                <w:bottom w:val="single" w:color="000000" w:sz="6" w:space="1"/>
              </w:pBdr>
              <w:spacing w:after="160" w:before="200"/>
            </w:pPr>
            <w:r>
              <w:rPr>
                <w:rFonts w:ascii="Times New Roman" w:cs="Times New Roman" w:eastAsia="Times New Roman" w:hAnsi="Times New Roman"/>
                <w:sz w:val="10"/>
                <w:szCs w:val="10"/>
              </w:rPr>
              <w:t xml:space="preserve"/>
            </w:r>
          </w:p>
        </w:tc>
      </w:tr>
      <w:tr>
        <w:trPr>
          <w:cantSplit/>
        </w:trPr>
        <w:tc>
          <w:tcPr>
            <w:tcW w:type="dxa" w:w="1900"/>
            <w:tcBorders>
              <w:top w:val="none" w:color="FFFFFF" w:sz="0"/>
              <w:left w:val="none" w:color="FFFFFF" w:sz="0"/>
              <w:bottom w:val="none" w:color="FFFFFF" w:sz="0"/>
              <w:right w:val="none" w:color="FFFFFF" w:sz="0"/>
            </w:tcBorders>
            <w:tcMar>
              <w:top w:type="dxa" w:w="0"/>
              <w:left w:type="dxa" w:w="0"/>
              <w:bottom w:type="dxa" w:w="0"/>
              <w:right w:type="dxa" w:w="120"/>
            </w:tcMar>
          </w:tcPr>
          <w:p>
            <w:pPr>
              <w:spacing w:after="0" w:before="20" w:line="250"/>
            </w:pPr>
            <w:r>
              <w:rPr>
                <w:rFonts w:ascii="Times New Roman" w:cs="Times New Roman" w:eastAsia="Times New Roman" w:hAnsi="Times New Roman"/>
                <w:smallCaps/>
                <w:spacing w:val="6"/>
                <w:sz w:val="19"/>
                <w:szCs w:val="19"/>
              </w:rPr>
              <w:t xml:space="preserve">Professional</w:t>
            </w:r>
          </w:p>
          <w:p>
            <w:pPr>
              <w:spacing w:after="0" w:before="0" w:line="250"/>
            </w:pPr>
            <w:r>
              <w:rPr>
                <w:rFonts w:ascii="Times New Roman" w:cs="Times New Roman" w:eastAsia="Times New Roman" w:hAnsi="Times New Roman"/>
                <w:smallCaps/>
                <w:spacing w:val="6"/>
                <w:sz w:val="19"/>
                <w:szCs w:val="19"/>
              </w:rPr>
              <w:t xml:space="preserve">Development</w:t>
            </w:r>
          </w:p>
        </w:tc>
        <w:tc>
          <w:tcPr>
            <w:tcW w:type="dxa" w:w="8180"/>
            <w:tcBorders>
              <w:top w:val="none" w:color="FFFFFF" w:sz="0"/>
              <w:left w:val="none" w:color="FFFFFF" w:sz="0"/>
              <w:bottom w:val="none" w:color="FFFFFF" w:sz="0"/>
              <w:right w:val="none" w:color="FFFFFF" w:sz="0"/>
            </w:tcBorders>
            <w:tcMar>
              <w:top w:type="dxa" w:w="0"/>
              <w:left w:type="dxa" w:w="0"/>
              <w:bottom w:type="dxa" w:w="0"/>
              <w:right w:type="dxa" w:w="0"/>
            </w:tcMar>
          </w:tcPr>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Advancing Excellence in Classroom certificate – Missouri S&amp;T – Fall 2025</w:t>
            </w:r>
          </w:p>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Early Career Faculty Weekly Workshop – Missouri S&amp;T – Fall 2024 to Spring 2025</w:t>
            </w:r>
          </w:p>
          <w:p>
            <w:pPr>
              <w:spacing w:after="40" w:before="40" w:line="250"/>
              <w:ind w:left="460" w:hanging="260"/>
            </w:pP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KEEN Entrepreneurial Mindset Workshop – Fall 2021</w:t>
            </w:r>
          </w:p>
          <w:p>
            <w:pPr>
              <w:pBdr>
                <w:bottom w:val="single" w:color="000000" w:sz="6" w:space="1"/>
              </w:pBdr>
              <w:spacing w:after="160" w:before="200"/>
            </w:pPr>
            <w:r>
              <w:rPr>
                <w:rFonts w:ascii="Times New Roman" w:cs="Times New Roman" w:eastAsia="Times New Roman" w:hAnsi="Times New Roman"/>
                <w:sz w:val="10"/>
                <w:szCs w:val="10"/>
              </w:rPr>
              <w:t xml:space="preserve"/>
            </w:r>
          </w:p>
        </w:tc>
      </w:tr>
    </w:tbl>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1"/>
        <w:szCs w:val="21"/>
      </w:rPr>
    </w:rPrDefault>
    <w:pPrDefault>
      <w:pPr>
        <w:spacing w:line="25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2026-08-24T14:51:57.239Z</dcterms:created>
  <dcterms:modified xsi:type="dcterms:W3CDTF">2026-08-24T14:51:57.239Z</dcterms:modified>
</cp:coreProperties>
</file>

<file path=docProps/custom.xml><?xml version="1.0" encoding="utf-8"?>
<Properties xmlns="http://schemas.openxmlformats.org/officeDocument/2006/custom-properties" xmlns:vt="http://schemas.openxmlformats.org/officeDocument/2006/docPropsVTypes"/>
</file>